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6D68" w14:textId="20ED9D0B" w:rsidR="00EA7C1B" w:rsidRPr="00201DBD" w:rsidRDefault="00EA7C1B" w:rsidP="00EA7C1B">
      <w:pPr>
        <w:jc w:val="center"/>
        <w:rPr>
          <w:rFonts w:ascii="Arial" w:hAnsi="Arial" w:cs="Arial"/>
          <w:b/>
          <w:sz w:val="32"/>
        </w:rPr>
      </w:pPr>
      <w:r w:rsidRPr="00201DBD">
        <w:rPr>
          <w:rFonts w:ascii="Arial" w:hAnsi="Arial" w:cs="Arial"/>
          <w:noProof/>
          <w:lang w:eastAsia="en-IE"/>
        </w:rPr>
        <w:drawing>
          <wp:anchor distT="0" distB="0" distL="114300" distR="114300" simplePos="0" relativeHeight="251660288" behindDoc="1" locked="0" layoutInCell="1" allowOverlap="1" wp14:anchorId="1C7E6DD9" wp14:editId="1C7E6DDA">
            <wp:simplePos x="0" y="0"/>
            <wp:positionH relativeFrom="margin">
              <wp:posOffset>1450318</wp:posOffset>
            </wp:positionH>
            <wp:positionV relativeFrom="paragraph">
              <wp:posOffset>0</wp:posOffset>
            </wp:positionV>
            <wp:extent cx="2741230" cy="929327"/>
            <wp:effectExtent l="0" t="0" r="2540" b="4445"/>
            <wp:wrapTopAndBottom/>
            <wp:docPr id="3" name="Picture 3" descr="Concern Worldwid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cern Worldwid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30" cy="9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DBD">
        <w:rPr>
          <w:rFonts w:ascii="Arial" w:hAnsi="Arial" w:cs="Arial"/>
          <w:b/>
          <w:sz w:val="32"/>
        </w:rPr>
        <w:t xml:space="preserve"> Technical </w:t>
      </w:r>
      <w:r w:rsidR="00E06B76">
        <w:rPr>
          <w:rFonts w:ascii="Arial" w:hAnsi="Arial" w:cs="Arial"/>
          <w:b/>
          <w:sz w:val="32"/>
        </w:rPr>
        <w:t>Specification</w:t>
      </w:r>
      <w:r w:rsidRPr="00201DBD">
        <w:rPr>
          <w:rFonts w:ascii="Arial" w:hAnsi="Arial" w:cs="Arial"/>
          <w:b/>
          <w:sz w:val="32"/>
        </w:rPr>
        <w:t xml:space="preserve"> Form</w:t>
      </w:r>
    </w:p>
    <w:p w14:paraId="1C7E6D69" w14:textId="77777777" w:rsidR="00EA7C1B" w:rsidRPr="00201DBD" w:rsidRDefault="00EA7C1B" w:rsidP="00EA7C1B">
      <w:pPr>
        <w:jc w:val="center"/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 xml:space="preserve">Tender for:  Solar </w:t>
      </w:r>
      <w:r w:rsidR="009B1265" w:rsidRPr="00201DBD">
        <w:rPr>
          <w:rFonts w:ascii="Arial" w:hAnsi="Arial" w:cs="Arial"/>
          <w:b/>
          <w:sz w:val="24"/>
        </w:rPr>
        <w:t>P</w:t>
      </w:r>
      <w:r w:rsidRPr="00201DBD">
        <w:rPr>
          <w:rFonts w:ascii="Arial" w:hAnsi="Arial" w:cs="Arial"/>
          <w:b/>
          <w:sz w:val="24"/>
        </w:rPr>
        <w:t>anel installation</w:t>
      </w:r>
    </w:p>
    <w:p w14:paraId="1C7E6D6A" w14:textId="2F9CAB51" w:rsidR="00E9073D" w:rsidRDefault="00EA7C1B" w:rsidP="00EA7C1B">
      <w:pPr>
        <w:jc w:val="center"/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>Name of Project: Solar Panel installation</w:t>
      </w:r>
    </w:p>
    <w:p w14:paraId="498453AD" w14:textId="3E0BFC74" w:rsidR="001F60F7" w:rsidRPr="00C72DB2" w:rsidRDefault="001F60F7" w:rsidP="001F60F7">
      <w:pPr>
        <w:spacing w:before="120" w:after="0" w:line="240" w:lineRule="auto"/>
        <w:jc w:val="center"/>
        <w:rPr>
          <w:rFonts w:asciiTheme="majorBidi" w:hAnsiTheme="majorBidi" w:cstheme="majorBidi"/>
          <w:b/>
          <w:sz w:val="24"/>
        </w:rPr>
      </w:pPr>
      <w:r w:rsidRPr="00C72DB2">
        <w:rPr>
          <w:rFonts w:asciiTheme="majorBidi" w:hAnsiTheme="majorBidi" w:cstheme="majorBidi"/>
          <w:b/>
          <w:sz w:val="24"/>
        </w:rPr>
        <w:t>Tender Reference:</w:t>
      </w:r>
      <w:r w:rsidRPr="00C72DB2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BGD/D</w:t>
      </w:r>
      <w:r w:rsidR="00A04C2B">
        <w:rPr>
          <w:rFonts w:asciiTheme="majorBidi" w:hAnsiTheme="majorBidi" w:cstheme="majorBidi"/>
          <w:b/>
        </w:rPr>
        <w:t>H</w:t>
      </w:r>
      <w:r>
        <w:rPr>
          <w:rFonts w:asciiTheme="majorBidi" w:hAnsiTheme="majorBidi" w:cstheme="majorBidi"/>
          <w:b/>
        </w:rPr>
        <w:t>K/Solar/TENDER/2023/004</w:t>
      </w:r>
    </w:p>
    <w:p w14:paraId="28651932" w14:textId="77777777" w:rsidR="001F60F7" w:rsidRPr="00201DBD" w:rsidRDefault="001F60F7" w:rsidP="00FC6592">
      <w:pPr>
        <w:rPr>
          <w:rFonts w:ascii="Arial" w:hAnsi="Arial" w:cs="Arial"/>
          <w:b/>
          <w:sz w:val="24"/>
        </w:rPr>
      </w:pPr>
    </w:p>
    <w:p w14:paraId="1C7E6D6D" w14:textId="54DEF4D9" w:rsidR="00EA7C1B" w:rsidRPr="00201DBD" w:rsidRDefault="00E06B76" w:rsidP="00FC6592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Annex-4</w:t>
      </w:r>
    </w:p>
    <w:p w14:paraId="1C7E6D6E" w14:textId="77777777" w:rsidR="00EA7C1B" w:rsidRPr="00201DBD" w:rsidRDefault="00EA7C1B" w:rsidP="00EA7C1B">
      <w:pPr>
        <w:jc w:val="center"/>
        <w:rPr>
          <w:rFonts w:ascii="Arial" w:hAnsi="Arial" w:cs="Arial"/>
          <w:b/>
          <w:sz w:val="24"/>
        </w:rPr>
      </w:pPr>
      <w:r w:rsidRPr="00201DBD">
        <w:rPr>
          <w:rFonts w:ascii="Arial" w:hAnsi="Arial" w:cs="Arial"/>
          <w:b/>
          <w:sz w:val="24"/>
        </w:rPr>
        <w:t xml:space="preserve">Please review this Table </w:t>
      </w:r>
      <w:r w:rsidR="007069D1">
        <w:rPr>
          <w:rFonts w:ascii="Arial" w:hAnsi="Arial" w:cs="Arial"/>
          <w:b/>
          <w:sz w:val="24"/>
        </w:rPr>
        <w:t xml:space="preserve">and other specifications </w:t>
      </w:r>
      <w:r w:rsidRPr="00201DBD">
        <w:rPr>
          <w:rFonts w:ascii="Arial" w:hAnsi="Arial" w:cs="Arial"/>
          <w:b/>
          <w:sz w:val="24"/>
        </w:rPr>
        <w:t>before answering the following questions</w:t>
      </w:r>
    </w:p>
    <w:p w14:paraId="1C7E6D6F" w14:textId="77777777" w:rsidR="00201DBD" w:rsidRPr="00201DBD" w:rsidRDefault="00201DBD" w:rsidP="00EA7C1B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069D1" w:rsidRPr="007069D1" w14:paraId="1C7E6D73" w14:textId="77777777" w:rsidTr="001759BF">
        <w:tc>
          <w:tcPr>
            <w:tcW w:w="3005" w:type="dxa"/>
          </w:tcPr>
          <w:p w14:paraId="1C7E6D70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3005" w:type="dxa"/>
          </w:tcPr>
          <w:p w14:paraId="1C7E6D71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Specifications</w:t>
            </w:r>
          </w:p>
        </w:tc>
        <w:tc>
          <w:tcPr>
            <w:tcW w:w="3006" w:type="dxa"/>
          </w:tcPr>
          <w:p w14:paraId="1C7E6D72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Additional Technical Evaluation Indicators</w:t>
            </w:r>
          </w:p>
        </w:tc>
      </w:tr>
      <w:tr w:rsidR="007069D1" w:rsidRPr="007069D1" w14:paraId="1C7E6D77" w14:textId="77777777" w:rsidTr="001759BF">
        <w:tc>
          <w:tcPr>
            <w:tcW w:w="3005" w:type="dxa"/>
          </w:tcPr>
          <w:p w14:paraId="1C7E6D74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Area</w:t>
            </w:r>
          </w:p>
        </w:tc>
        <w:tc>
          <w:tcPr>
            <w:tcW w:w="3005" w:type="dxa"/>
          </w:tcPr>
          <w:p w14:paraId="1C7E6D75" w14:textId="4AF3EC7B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2454 </w:t>
            </w:r>
            <w:proofErr w:type="spellStart"/>
            <w:r w:rsidRPr="007069D1">
              <w:rPr>
                <w:rFonts w:ascii="Arial" w:hAnsi="Arial" w:cs="Arial"/>
                <w:sz w:val="20"/>
                <w:szCs w:val="20"/>
              </w:rPr>
              <w:t>Sqft</w:t>
            </w:r>
            <w:proofErr w:type="spellEnd"/>
            <w:r w:rsidR="0015215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782C06">
              <w:rPr>
                <w:rFonts w:ascii="Arial" w:hAnsi="Arial" w:cs="Arial"/>
                <w:sz w:val="20"/>
                <w:szCs w:val="20"/>
              </w:rPr>
              <w:t>227.98 Square M</w:t>
            </w:r>
          </w:p>
        </w:tc>
        <w:tc>
          <w:tcPr>
            <w:tcW w:w="3006" w:type="dxa"/>
          </w:tcPr>
          <w:p w14:paraId="1C7E6D76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D1" w:rsidRPr="007069D1" w14:paraId="1C7E6D7B" w14:textId="77777777" w:rsidTr="001759BF">
        <w:tc>
          <w:tcPr>
            <w:tcW w:w="3005" w:type="dxa"/>
          </w:tcPr>
          <w:p w14:paraId="1C7E6D78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System Capacity and PV Solar Panels</w:t>
            </w:r>
          </w:p>
        </w:tc>
        <w:tc>
          <w:tcPr>
            <w:tcW w:w="3005" w:type="dxa"/>
          </w:tcPr>
          <w:p w14:paraId="1C7E6D79" w14:textId="5AE9F0E1" w:rsidR="007069D1" w:rsidRPr="007069D1" w:rsidRDefault="007069D1" w:rsidP="004717FA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18kWp (kW peak) system along with 10kWp for backup system. All total a 28 </w:t>
            </w:r>
            <w:proofErr w:type="spellStart"/>
            <w:r w:rsidRPr="007069D1">
              <w:rPr>
                <w:rFonts w:ascii="Arial" w:hAnsi="Arial" w:cs="Arial"/>
                <w:sz w:val="20"/>
                <w:szCs w:val="20"/>
              </w:rPr>
              <w:t>kWp</w:t>
            </w:r>
            <w:proofErr w:type="spellEnd"/>
            <w:r w:rsidRPr="007069D1">
              <w:rPr>
                <w:rFonts w:ascii="Arial" w:hAnsi="Arial" w:cs="Arial"/>
                <w:sz w:val="20"/>
                <w:szCs w:val="20"/>
              </w:rPr>
              <w:t xml:space="preserve"> system. Minimum </w:t>
            </w:r>
            <w:r w:rsidR="004717FA">
              <w:rPr>
                <w:rFonts w:ascii="Arial" w:hAnsi="Arial" w:cs="Arial"/>
                <w:sz w:val="20"/>
                <w:szCs w:val="20"/>
              </w:rPr>
              <w:t>18</w:t>
            </w:r>
            <w:r w:rsidRPr="007069D1">
              <w:rPr>
                <w:rFonts w:ascii="Arial" w:hAnsi="Arial" w:cs="Arial"/>
                <w:sz w:val="20"/>
                <w:szCs w:val="20"/>
              </w:rPr>
              <w:t>% efficient</w:t>
            </w:r>
            <w:r w:rsidR="003C1AF6">
              <w:rPr>
                <w:rFonts w:ascii="Arial" w:hAnsi="Arial" w:cs="Arial"/>
                <w:sz w:val="20"/>
                <w:szCs w:val="20"/>
              </w:rPr>
              <w:t xml:space="preserve"> (monocrystalline)</w:t>
            </w:r>
            <w:r w:rsidRPr="007069D1">
              <w:rPr>
                <w:rFonts w:ascii="Arial" w:hAnsi="Arial" w:cs="Arial"/>
                <w:sz w:val="20"/>
                <w:szCs w:val="20"/>
              </w:rPr>
              <w:t>, tier-1 branded</w:t>
            </w:r>
          </w:p>
        </w:tc>
        <w:tc>
          <w:tcPr>
            <w:tcW w:w="3006" w:type="dxa"/>
          </w:tcPr>
          <w:p w14:paraId="1C7E6D7A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Efficiency (%), Coefficient of temperature (%/degree C), Power rating / </w:t>
            </w:r>
            <w:proofErr w:type="spellStart"/>
            <w:r w:rsidRPr="007069D1">
              <w:rPr>
                <w:rFonts w:ascii="Arial" w:hAnsi="Arial" w:cs="Arial"/>
                <w:sz w:val="20"/>
                <w:szCs w:val="20"/>
              </w:rPr>
              <w:t>sq</w:t>
            </w:r>
            <w:proofErr w:type="spellEnd"/>
            <w:r w:rsidRPr="007069D1">
              <w:rPr>
                <w:rFonts w:ascii="Arial" w:hAnsi="Arial" w:cs="Arial"/>
                <w:sz w:val="20"/>
                <w:szCs w:val="20"/>
              </w:rPr>
              <w:t xml:space="preserve"> metre</w:t>
            </w:r>
          </w:p>
        </w:tc>
      </w:tr>
      <w:tr w:rsidR="007069D1" w:rsidRPr="007069D1" w14:paraId="1C7E6D7F" w14:textId="77777777" w:rsidTr="001759BF">
        <w:tc>
          <w:tcPr>
            <w:tcW w:w="3005" w:type="dxa"/>
          </w:tcPr>
          <w:p w14:paraId="1C7E6D7C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Grid Tied Inverter</w:t>
            </w:r>
          </w:p>
        </w:tc>
        <w:tc>
          <w:tcPr>
            <w:tcW w:w="3005" w:type="dxa"/>
          </w:tcPr>
          <w:p w14:paraId="1C7E6D7D" w14:textId="3B76B612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String inverter, </w:t>
            </w:r>
            <w:r w:rsidR="00862380">
              <w:rPr>
                <w:rFonts w:ascii="Arial" w:hAnsi="Arial" w:cs="Arial"/>
                <w:sz w:val="20"/>
                <w:szCs w:val="20"/>
              </w:rPr>
              <w:t>20</w:t>
            </w:r>
            <w:r w:rsidRPr="007069D1">
              <w:rPr>
                <w:rFonts w:ascii="Arial" w:hAnsi="Arial" w:cs="Arial"/>
                <w:sz w:val="20"/>
                <w:szCs w:val="20"/>
              </w:rPr>
              <w:t xml:space="preserve"> kW, 3-phase, 50 Hz, Compatible with SREDA standards</w:t>
            </w:r>
          </w:p>
        </w:tc>
        <w:tc>
          <w:tcPr>
            <w:tcW w:w="3006" w:type="dxa"/>
          </w:tcPr>
          <w:p w14:paraId="1C7E6D7E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Inverter efficiency (%), Operating temperature parameters</w:t>
            </w:r>
          </w:p>
        </w:tc>
      </w:tr>
      <w:tr w:rsidR="007069D1" w:rsidRPr="007069D1" w14:paraId="1C7E6D83" w14:textId="77777777" w:rsidTr="001759BF">
        <w:tc>
          <w:tcPr>
            <w:tcW w:w="3005" w:type="dxa"/>
          </w:tcPr>
          <w:p w14:paraId="1C7E6D80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Hybrid Inverter</w:t>
            </w:r>
          </w:p>
        </w:tc>
        <w:tc>
          <w:tcPr>
            <w:tcW w:w="3005" w:type="dxa"/>
          </w:tcPr>
          <w:p w14:paraId="1C7E6D81" w14:textId="5433A61B" w:rsidR="007069D1" w:rsidRPr="007069D1" w:rsidRDefault="007069D1" w:rsidP="00510C8A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Grid Tied hybrid inverter,</w:t>
            </w:r>
            <w:r w:rsidR="00510C8A">
              <w:rPr>
                <w:rFonts w:ascii="Arial" w:hAnsi="Arial" w:cs="Arial"/>
                <w:sz w:val="20"/>
                <w:szCs w:val="20"/>
              </w:rPr>
              <w:t>3.5x3 = 10.5</w:t>
            </w:r>
            <w:r w:rsidRPr="007069D1">
              <w:rPr>
                <w:rFonts w:ascii="Arial" w:hAnsi="Arial" w:cs="Arial"/>
                <w:sz w:val="20"/>
                <w:szCs w:val="20"/>
              </w:rPr>
              <w:t xml:space="preserve"> kW, 3-phase, 50 Hz</w:t>
            </w:r>
          </w:p>
        </w:tc>
        <w:tc>
          <w:tcPr>
            <w:tcW w:w="3006" w:type="dxa"/>
          </w:tcPr>
          <w:p w14:paraId="1C7E6D82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Inverter efficiency (%), Operating temperature parameters</w:t>
            </w:r>
          </w:p>
        </w:tc>
      </w:tr>
      <w:tr w:rsidR="007069D1" w:rsidRPr="007069D1" w14:paraId="1C7E6D87" w14:textId="77777777" w:rsidTr="001759BF">
        <w:tc>
          <w:tcPr>
            <w:tcW w:w="3005" w:type="dxa"/>
          </w:tcPr>
          <w:p w14:paraId="1C7E6D84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Battery Bank</w:t>
            </w:r>
          </w:p>
        </w:tc>
        <w:tc>
          <w:tcPr>
            <w:tcW w:w="3005" w:type="dxa"/>
          </w:tcPr>
          <w:p w14:paraId="1C7E6D85" w14:textId="5C784448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Total capacity 1,</w:t>
            </w:r>
            <w:r w:rsidR="00510C8A">
              <w:rPr>
                <w:rFonts w:ascii="Arial" w:hAnsi="Arial" w:cs="Arial"/>
                <w:sz w:val="20"/>
                <w:szCs w:val="20"/>
              </w:rPr>
              <w:t>6</w:t>
            </w:r>
            <w:r w:rsidRPr="007069D1">
              <w:rPr>
                <w:rFonts w:ascii="Arial" w:hAnsi="Arial" w:cs="Arial"/>
                <w:sz w:val="20"/>
                <w:szCs w:val="20"/>
              </w:rPr>
              <w:t>00 Ah, 48 Volt unit</w:t>
            </w:r>
          </w:p>
        </w:tc>
        <w:tc>
          <w:tcPr>
            <w:tcW w:w="3006" w:type="dxa"/>
          </w:tcPr>
          <w:p w14:paraId="1C7E6D86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AGM Lead Acid, Operating temperature parameters, discharge capacity</w:t>
            </w:r>
          </w:p>
        </w:tc>
      </w:tr>
      <w:tr w:rsidR="007069D1" w:rsidRPr="007069D1" w14:paraId="1C7E6D8F" w14:textId="77777777" w:rsidTr="001759BF">
        <w:tc>
          <w:tcPr>
            <w:tcW w:w="3005" w:type="dxa"/>
          </w:tcPr>
          <w:p w14:paraId="1C7E6D8C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Mounting Structure</w:t>
            </w:r>
          </w:p>
        </w:tc>
        <w:tc>
          <w:tcPr>
            <w:tcW w:w="3005" w:type="dxa"/>
          </w:tcPr>
          <w:p w14:paraId="1C7E6D8D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Panels mounted on office roof at an angle of 23 degrees to the horizontal. </w:t>
            </w:r>
          </w:p>
        </w:tc>
        <w:tc>
          <w:tcPr>
            <w:tcW w:w="3006" w:type="dxa"/>
          </w:tcPr>
          <w:p w14:paraId="1C7E6D8E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Allowing access walkways for maintenance, inspections, etc.</w:t>
            </w:r>
          </w:p>
        </w:tc>
      </w:tr>
      <w:tr w:rsidR="007069D1" w:rsidRPr="007069D1" w14:paraId="1C7E6D93" w14:textId="77777777" w:rsidTr="001759BF">
        <w:tc>
          <w:tcPr>
            <w:tcW w:w="3005" w:type="dxa"/>
          </w:tcPr>
          <w:p w14:paraId="1C7E6D90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lastRenderedPageBreak/>
              <w:t>Cables, Cable Tray, Combiner Box</w:t>
            </w:r>
          </w:p>
        </w:tc>
        <w:tc>
          <w:tcPr>
            <w:tcW w:w="3005" w:type="dxa"/>
          </w:tcPr>
          <w:p w14:paraId="1C7E6D91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Wire needs to be capable of carrying high amps and fire resistant. The combiner box needs to be IP65 rated.</w:t>
            </w:r>
          </w:p>
        </w:tc>
        <w:tc>
          <w:tcPr>
            <w:tcW w:w="3006" w:type="dxa"/>
          </w:tcPr>
          <w:p w14:paraId="1C7E6D92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For DC and AC there will be different requirement of wire rating and category but both need to have 25% extra load capacity. </w:t>
            </w:r>
          </w:p>
        </w:tc>
      </w:tr>
      <w:tr w:rsidR="00510C8A" w:rsidRPr="007069D1" w14:paraId="1BA31F62" w14:textId="77777777" w:rsidTr="001759BF">
        <w:tc>
          <w:tcPr>
            <w:tcW w:w="3005" w:type="dxa"/>
          </w:tcPr>
          <w:p w14:paraId="77DC273B" w14:textId="6CFCB6E9" w:rsidR="00510C8A" w:rsidRPr="007069D1" w:rsidRDefault="00A706ED" w:rsidP="00706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10C8A">
              <w:rPr>
                <w:rFonts w:ascii="Arial" w:hAnsi="Arial" w:cs="Arial"/>
                <w:sz w:val="20"/>
                <w:szCs w:val="20"/>
              </w:rPr>
              <w:t xml:space="preserve">uel check controller </w:t>
            </w:r>
            <w:r w:rsidR="0074594E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74594E" w:rsidRPr="00A706ED">
              <w:rPr>
                <w:rFonts w:ascii="Arial" w:hAnsi="Arial" w:cs="Arial"/>
              </w:rPr>
              <w:t>sma</w:t>
            </w:r>
            <w:proofErr w:type="spellEnd"/>
            <w:r w:rsidR="0074594E" w:rsidRPr="00A706ED">
              <w:rPr>
                <w:rFonts w:ascii="Arial" w:hAnsi="Arial" w:cs="Arial"/>
              </w:rPr>
              <w:t xml:space="preserve"> fuel save Controller</w:t>
            </w:r>
          </w:p>
        </w:tc>
        <w:tc>
          <w:tcPr>
            <w:tcW w:w="3005" w:type="dxa"/>
          </w:tcPr>
          <w:p w14:paraId="53D9FA2B" w14:textId="54774341" w:rsidR="00510C8A" w:rsidRPr="007069D1" w:rsidRDefault="00510C8A" w:rsidP="00706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controll</w:t>
            </w:r>
            <w:r w:rsidR="0074594E">
              <w:rPr>
                <w:rFonts w:ascii="Arial" w:hAnsi="Arial" w:cs="Arial"/>
                <w:sz w:val="20"/>
                <w:szCs w:val="20"/>
              </w:rPr>
              <w:t xml:space="preserve">er which will combine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solar and generator </w:t>
            </w:r>
            <w:r w:rsidR="0074594E">
              <w:rPr>
                <w:rFonts w:ascii="Arial" w:hAnsi="Arial" w:cs="Arial"/>
                <w:sz w:val="20"/>
                <w:szCs w:val="20"/>
              </w:rPr>
              <w:t xml:space="preserve">electricity </w:t>
            </w:r>
            <w:r>
              <w:rPr>
                <w:rFonts w:ascii="Arial" w:hAnsi="Arial" w:cs="Arial"/>
                <w:sz w:val="20"/>
                <w:szCs w:val="20"/>
              </w:rPr>
              <w:t>supply</w:t>
            </w:r>
            <w:r w:rsidR="0074594E">
              <w:rPr>
                <w:rFonts w:ascii="Arial" w:hAnsi="Arial" w:cs="Arial"/>
                <w:sz w:val="20"/>
                <w:szCs w:val="20"/>
              </w:rPr>
              <w:t>. This will maintain the balance in power supply from both generator and solar system when national grid is offline.</w:t>
            </w:r>
          </w:p>
        </w:tc>
        <w:tc>
          <w:tcPr>
            <w:tcW w:w="3006" w:type="dxa"/>
          </w:tcPr>
          <w:p w14:paraId="6C5F35E2" w14:textId="0D509159" w:rsidR="00510C8A" w:rsidRPr="007069D1" w:rsidRDefault="0074594E" w:rsidP="007069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Supplier will ensure required controller which support both solar panel and diesel fuel generator </w:t>
            </w:r>
          </w:p>
        </w:tc>
      </w:tr>
      <w:tr w:rsidR="007069D1" w:rsidRPr="007069D1" w14:paraId="1C7E6D97" w14:textId="77777777" w:rsidTr="001759BF">
        <w:tc>
          <w:tcPr>
            <w:tcW w:w="3005" w:type="dxa"/>
          </w:tcPr>
          <w:p w14:paraId="1C7E6D94" w14:textId="36C395BF" w:rsidR="007069D1" w:rsidRPr="007069D1" w:rsidRDefault="007069D1" w:rsidP="00510C8A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Status Monitoring </w:t>
            </w:r>
            <w:r w:rsidR="00510C8A">
              <w:rPr>
                <w:rFonts w:ascii="Arial" w:hAnsi="Arial" w:cs="Arial"/>
                <w:sz w:val="20"/>
                <w:szCs w:val="20"/>
              </w:rPr>
              <w:t>Tools</w:t>
            </w:r>
          </w:p>
        </w:tc>
        <w:tc>
          <w:tcPr>
            <w:tcW w:w="3005" w:type="dxa"/>
          </w:tcPr>
          <w:p w14:paraId="1C7E6D95" w14:textId="085498F5" w:rsidR="007069D1" w:rsidRPr="007069D1" w:rsidRDefault="007069D1" w:rsidP="00510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The monitoring </w:t>
            </w:r>
            <w:r w:rsidR="00510C8A">
              <w:rPr>
                <w:rFonts w:ascii="Arial" w:hAnsi="Arial" w:cs="Arial"/>
                <w:sz w:val="20"/>
                <w:szCs w:val="20"/>
              </w:rPr>
              <w:t>tools</w:t>
            </w:r>
            <w:r w:rsidR="00510C8A" w:rsidRPr="007069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9D1">
              <w:rPr>
                <w:rFonts w:ascii="Arial" w:hAnsi="Arial" w:cs="Arial"/>
                <w:sz w:val="20"/>
                <w:szCs w:val="20"/>
              </w:rPr>
              <w:t xml:space="preserve">needs to be connected to a computer or a software where the relevant </w:t>
            </w:r>
            <w:bookmarkStart w:id="0" w:name="_GoBack"/>
            <w:bookmarkEnd w:id="0"/>
            <w:r w:rsidRPr="007069D1">
              <w:rPr>
                <w:rFonts w:ascii="Arial" w:hAnsi="Arial" w:cs="Arial"/>
                <w:sz w:val="20"/>
                <w:szCs w:val="20"/>
              </w:rPr>
              <w:t>information will be stored.</w:t>
            </w:r>
            <w:r w:rsidRPr="007069D1" w:rsidDel="000A25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1C7E6D96" w14:textId="14C1C7D2" w:rsidR="007069D1" w:rsidRPr="007069D1" w:rsidRDefault="007069D1" w:rsidP="00510C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Status monitoring</w:t>
            </w:r>
            <w:r w:rsidR="00510C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6ED">
              <w:rPr>
                <w:rFonts w:ascii="Arial" w:hAnsi="Arial" w:cs="Arial"/>
                <w:sz w:val="20"/>
                <w:szCs w:val="20"/>
              </w:rPr>
              <w:t>tools</w:t>
            </w:r>
            <w:r w:rsidR="00A706ED" w:rsidRPr="007069D1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7069D1">
              <w:rPr>
                <w:rFonts w:ascii="Arial" w:hAnsi="Arial" w:cs="Arial"/>
                <w:sz w:val="20"/>
                <w:szCs w:val="20"/>
              </w:rPr>
              <w:t xml:space="preserve"> to be used for tracking the solar production over time. Also, monitoring equipment will be used for seeing if any part of the solar panel is malfunctioning.</w:t>
            </w:r>
          </w:p>
        </w:tc>
      </w:tr>
      <w:tr w:rsidR="007069D1" w:rsidRPr="007069D1" w14:paraId="1C7E6D9B" w14:textId="77777777" w:rsidTr="001759BF">
        <w:tc>
          <w:tcPr>
            <w:tcW w:w="3005" w:type="dxa"/>
          </w:tcPr>
          <w:p w14:paraId="1C7E6D98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Lightning Protection System</w:t>
            </w:r>
          </w:p>
        </w:tc>
        <w:tc>
          <w:tcPr>
            <w:tcW w:w="3005" w:type="dxa"/>
          </w:tcPr>
          <w:p w14:paraId="1C7E6D99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With resistance &lt; 5 ohms</w:t>
            </w:r>
          </w:p>
        </w:tc>
        <w:tc>
          <w:tcPr>
            <w:tcW w:w="3006" w:type="dxa"/>
          </w:tcPr>
          <w:p w14:paraId="1C7E6D9A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D1" w:rsidRPr="007069D1" w14:paraId="1C7E6D9F" w14:textId="77777777" w:rsidTr="001759BF">
        <w:tc>
          <w:tcPr>
            <w:tcW w:w="3005" w:type="dxa"/>
          </w:tcPr>
          <w:p w14:paraId="1C7E6D9C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AC/DC Components</w:t>
            </w:r>
          </w:p>
        </w:tc>
        <w:tc>
          <w:tcPr>
            <w:tcW w:w="3005" w:type="dxa"/>
          </w:tcPr>
          <w:p w14:paraId="1C7E6D9D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 xml:space="preserve">IP65 rated and fire resistant </w:t>
            </w:r>
          </w:p>
        </w:tc>
        <w:tc>
          <w:tcPr>
            <w:tcW w:w="3006" w:type="dxa"/>
          </w:tcPr>
          <w:p w14:paraId="1C7E6D9E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D1" w:rsidRPr="007069D1" w14:paraId="1C7E6DA3" w14:textId="77777777" w:rsidTr="001759BF">
        <w:tc>
          <w:tcPr>
            <w:tcW w:w="3005" w:type="dxa"/>
          </w:tcPr>
          <w:p w14:paraId="1C7E6DA0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Equipment for Maintenance</w:t>
            </w:r>
          </w:p>
        </w:tc>
        <w:tc>
          <w:tcPr>
            <w:tcW w:w="3005" w:type="dxa"/>
          </w:tcPr>
          <w:p w14:paraId="1C7E6DA1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No specification</w:t>
            </w:r>
          </w:p>
        </w:tc>
        <w:tc>
          <w:tcPr>
            <w:tcW w:w="3006" w:type="dxa"/>
          </w:tcPr>
          <w:p w14:paraId="1C7E6DA2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D1" w:rsidRPr="007069D1" w14:paraId="1C7E6DA7" w14:textId="77777777" w:rsidTr="001759BF">
        <w:tc>
          <w:tcPr>
            <w:tcW w:w="3005" w:type="dxa"/>
          </w:tcPr>
          <w:p w14:paraId="1C7E6DA4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Net Energy Meter</w:t>
            </w:r>
          </w:p>
        </w:tc>
        <w:tc>
          <w:tcPr>
            <w:tcW w:w="3005" w:type="dxa"/>
          </w:tcPr>
          <w:p w14:paraId="1C7E6DA5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SREDA and BSTI approved</w:t>
            </w:r>
          </w:p>
        </w:tc>
        <w:tc>
          <w:tcPr>
            <w:tcW w:w="3006" w:type="dxa"/>
          </w:tcPr>
          <w:p w14:paraId="1C7E6DA6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9D1" w:rsidRPr="007069D1" w14:paraId="1C7E6DAB" w14:textId="77777777" w:rsidTr="001759BF">
        <w:tc>
          <w:tcPr>
            <w:tcW w:w="3005" w:type="dxa"/>
          </w:tcPr>
          <w:p w14:paraId="1C7E6DA8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Construction works</w:t>
            </w:r>
          </w:p>
        </w:tc>
        <w:tc>
          <w:tcPr>
            <w:tcW w:w="3005" w:type="dxa"/>
          </w:tcPr>
          <w:p w14:paraId="1C7E6DA9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C7E6DAA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Access walkways, protective fencing</w:t>
            </w:r>
          </w:p>
        </w:tc>
      </w:tr>
      <w:tr w:rsidR="007069D1" w:rsidRPr="007069D1" w14:paraId="1C7E6DAF" w14:textId="77777777" w:rsidTr="001759BF">
        <w:tc>
          <w:tcPr>
            <w:tcW w:w="3005" w:type="dxa"/>
          </w:tcPr>
          <w:p w14:paraId="1C7E6DAC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  <w:r w:rsidRPr="007069D1">
              <w:rPr>
                <w:rFonts w:ascii="Arial" w:hAnsi="Arial" w:cs="Arial"/>
                <w:sz w:val="20"/>
                <w:szCs w:val="20"/>
              </w:rPr>
              <w:t>Getting regulatory permissions and others</w:t>
            </w:r>
          </w:p>
        </w:tc>
        <w:tc>
          <w:tcPr>
            <w:tcW w:w="3005" w:type="dxa"/>
          </w:tcPr>
          <w:p w14:paraId="1C7E6DAD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C7E6DAE" w14:textId="77777777" w:rsidR="007069D1" w:rsidRPr="007069D1" w:rsidRDefault="007069D1" w:rsidP="007069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E6DB0" w14:textId="77777777" w:rsidR="007069D1" w:rsidRPr="007069D1" w:rsidRDefault="007069D1" w:rsidP="007069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7E6DB1" w14:textId="77777777" w:rsidR="007069D1" w:rsidRPr="007069D1" w:rsidRDefault="007069D1" w:rsidP="007069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9D1">
        <w:rPr>
          <w:rFonts w:ascii="Arial" w:hAnsi="Arial" w:cs="Arial"/>
          <w:b/>
          <w:sz w:val="20"/>
          <w:szCs w:val="20"/>
        </w:rPr>
        <w:t xml:space="preserve">Other specifications are- </w:t>
      </w:r>
    </w:p>
    <w:p w14:paraId="1C7E6DB2" w14:textId="77777777" w:rsidR="007069D1" w:rsidRPr="007069D1" w:rsidRDefault="007069D1" w:rsidP="007069D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i/>
          <w:color w:val="5B9BD5" w:themeColor="accent1"/>
          <w:sz w:val="20"/>
          <w:szCs w:val="20"/>
          <w:lang w:eastAsia="en-IE"/>
        </w:rPr>
      </w:pPr>
      <w:r w:rsidRPr="007069D1">
        <w:rPr>
          <w:rFonts w:ascii="Arial" w:hAnsi="Arial" w:cs="Arial"/>
          <w:b/>
          <w:i/>
          <w:sz w:val="20"/>
          <w:szCs w:val="20"/>
          <w:lang w:eastAsia="en-IE"/>
        </w:rPr>
        <w:t xml:space="preserve">Grid tied Inverter- </w:t>
      </w:r>
      <w:r w:rsidRPr="007069D1">
        <w:rPr>
          <w:rFonts w:ascii="Arial" w:hAnsi="Arial" w:cs="Arial"/>
          <w:sz w:val="20"/>
          <w:szCs w:val="20"/>
          <w:lang w:eastAsia="en-IE"/>
        </w:rPr>
        <w:t xml:space="preserve">Inverter must be from following list in the given webpage link- </w:t>
      </w:r>
      <w:r w:rsidRPr="007069D1">
        <w:rPr>
          <w:rFonts w:ascii="Arial" w:hAnsi="Arial" w:cs="Arial"/>
          <w:color w:val="5B9BD5" w:themeColor="accent1"/>
          <w:sz w:val="20"/>
          <w:szCs w:val="20"/>
          <w:lang w:eastAsia="en-IE"/>
        </w:rPr>
        <w:t>http://sreda.gov.bd/site/page/ef10447e-509a-4e7d-94ad-df2eaf5c27ec</w:t>
      </w:r>
    </w:p>
    <w:p w14:paraId="1C7E6DB3" w14:textId="77777777" w:rsidR="007069D1" w:rsidRPr="007069D1" w:rsidRDefault="007069D1" w:rsidP="007069D1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sz w:val="20"/>
          <w:szCs w:val="20"/>
          <w:lang w:eastAsia="en-IE"/>
        </w:rPr>
      </w:pPr>
      <w:r w:rsidRPr="007069D1">
        <w:rPr>
          <w:rFonts w:ascii="Arial" w:hAnsi="Arial" w:cs="Arial"/>
          <w:b/>
          <w:i/>
          <w:sz w:val="20"/>
          <w:szCs w:val="20"/>
          <w:lang w:eastAsia="en-IE"/>
        </w:rPr>
        <w:t xml:space="preserve">Net Energy meter- </w:t>
      </w:r>
      <w:r w:rsidRPr="007069D1">
        <w:rPr>
          <w:rFonts w:ascii="Arial" w:hAnsi="Arial" w:cs="Arial"/>
          <w:sz w:val="20"/>
          <w:szCs w:val="20"/>
          <w:lang w:eastAsia="en-IE"/>
        </w:rPr>
        <w:t xml:space="preserve">Product must be from the list of product approved by SREDA. </w:t>
      </w:r>
      <w:r w:rsidRPr="007069D1">
        <w:rPr>
          <w:rFonts w:ascii="Arial" w:hAnsi="Arial" w:cs="Arial"/>
          <w:i/>
          <w:sz w:val="20"/>
          <w:szCs w:val="20"/>
          <w:lang w:eastAsia="en-IE"/>
        </w:rPr>
        <w:t>Net meter list-https://solar.sreda.gov.bd/</w:t>
      </w:r>
      <w:proofErr w:type="spellStart"/>
      <w:r w:rsidRPr="007069D1">
        <w:rPr>
          <w:rFonts w:ascii="Arial" w:hAnsi="Arial" w:cs="Arial"/>
          <w:i/>
          <w:sz w:val="20"/>
          <w:szCs w:val="20"/>
          <w:lang w:eastAsia="en-IE"/>
        </w:rPr>
        <w:t>nem</w:t>
      </w:r>
      <w:proofErr w:type="spellEnd"/>
      <w:r w:rsidRPr="007069D1">
        <w:rPr>
          <w:rFonts w:ascii="Arial" w:hAnsi="Arial" w:cs="Arial"/>
          <w:i/>
          <w:sz w:val="20"/>
          <w:szCs w:val="20"/>
          <w:lang w:eastAsia="en-IE"/>
        </w:rPr>
        <w:t>/</w:t>
      </w:r>
      <w:proofErr w:type="spellStart"/>
      <w:r w:rsidRPr="007069D1">
        <w:rPr>
          <w:rFonts w:ascii="Arial" w:hAnsi="Arial" w:cs="Arial"/>
          <w:i/>
          <w:sz w:val="20"/>
          <w:szCs w:val="20"/>
          <w:lang w:eastAsia="en-IE"/>
        </w:rPr>
        <w:t>gridtiedinverter.php</w:t>
      </w:r>
      <w:proofErr w:type="spellEnd"/>
    </w:p>
    <w:p w14:paraId="1C7E6DB4" w14:textId="713167FB" w:rsidR="00EA7C1B" w:rsidRPr="00201DBD" w:rsidRDefault="00EA7C1B" w:rsidP="00EA7C1B">
      <w:pPr>
        <w:jc w:val="center"/>
        <w:rPr>
          <w:rFonts w:ascii="Arial" w:hAnsi="Arial" w:cs="Arial"/>
          <w:b/>
          <w:sz w:val="24"/>
        </w:rPr>
      </w:pPr>
    </w:p>
    <w:p w14:paraId="1C7E6DB5" w14:textId="1C0E2F55" w:rsidR="009B1265" w:rsidRDefault="00B43CBA" w:rsidP="00EA7C1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pict w14:anchorId="68489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4pt;height:293pt">
            <v:imagedata r:id="rId6" o:title="Drawing Layout 1"/>
          </v:shape>
        </w:pict>
      </w:r>
    </w:p>
    <w:p w14:paraId="673A9808" w14:textId="6AA35C77" w:rsidR="009705A9" w:rsidRPr="00201DBD" w:rsidRDefault="009705A9" w:rsidP="00EA7C1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Figure: A hypothetical design structure for the solar panels</w:t>
      </w:r>
    </w:p>
    <w:sectPr w:rsidR="009705A9" w:rsidRPr="00201DBD" w:rsidSect="00EA7C1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EA8"/>
    <w:multiLevelType w:val="hybridMultilevel"/>
    <w:tmpl w:val="1A0230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FA"/>
    <w:rsid w:val="00024E2C"/>
    <w:rsid w:val="00050F2A"/>
    <w:rsid w:val="00126A52"/>
    <w:rsid w:val="001466F3"/>
    <w:rsid w:val="00152158"/>
    <w:rsid w:val="001F1AE5"/>
    <w:rsid w:val="001F60F7"/>
    <w:rsid w:val="00201DBD"/>
    <w:rsid w:val="00266671"/>
    <w:rsid w:val="002E0AD3"/>
    <w:rsid w:val="003B1501"/>
    <w:rsid w:val="003C1AF6"/>
    <w:rsid w:val="003F3E67"/>
    <w:rsid w:val="004116FF"/>
    <w:rsid w:val="004717FA"/>
    <w:rsid w:val="004E0A1B"/>
    <w:rsid w:val="004F4B4D"/>
    <w:rsid w:val="005005CF"/>
    <w:rsid w:val="00510C8A"/>
    <w:rsid w:val="005D7F72"/>
    <w:rsid w:val="00624ACE"/>
    <w:rsid w:val="007069D1"/>
    <w:rsid w:val="0074594E"/>
    <w:rsid w:val="00753E67"/>
    <w:rsid w:val="00782C06"/>
    <w:rsid w:val="00862380"/>
    <w:rsid w:val="009705A9"/>
    <w:rsid w:val="00991207"/>
    <w:rsid w:val="009B1265"/>
    <w:rsid w:val="009F447C"/>
    <w:rsid w:val="00A04C2B"/>
    <w:rsid w:val="00A706ED"/>
    <w:rsid w:val="00B43CBA"/>
    <w:rsid w:val="00CB1207"/>
    <w:rsid w:val="00CE7F6A"/>
    <w:rsid w:val="00D12CFA"/>
    <w:rsid w:val="00D34CE4"/>
    <w:rsid w:val="00E06B76"/>
    <w:rsid w:val="00E46CFE"/>
    <w:rsid w:val="00E9073D"/>
    <w:rsid w:val="00EA7C1B"/>
    <w:rsid w:val="00F2553A"/>
    <w:rsid w:val="00F31974"/>
    <w:rsid w:val="00FC6592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7E6D68"/>
  <w15:chartTrackingRefBased/>
  <w15:docId w15:val="{2212B3ED-26D2-4B6D-A9D8-E14E4126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0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0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users</dc:creator>
  <cp:keywords/>
  <dc:description/>
  <cp:lastModifiedBy>Azahar Ali</cp:lastModifiedBy>
  <cp:revision>2</cp:revision>
  <dcterms:created xsi:type="dcterms:W3CDTF">2023-12-07T04:45:00Z</dcterms:created>
  <dcterms:modified xsi:type="dcterms:W3CDTF">2023-12-07T04:45:00Z</dcterms:modified>
</cp:coreProperties>
</file>